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</w:pPr>
      <w:r/>
      <w:r/>
    </w:p>
    <w:p>
      <w:pPr>
        <w:pStyle w:val="59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Základní škola a Mateřská škola, Červený Kostelec, Olešnice 190</w:t>
      </w:r>
      <w:r>
        <w:rPr>
          <w:sz w:val="32"/>
          <w:szCs w:val="32"/>
        </w:rPr>
      </w:r>
      <w:r/>
    </w:p>
    <w:p>
      <w:pPr>
        <w:pStyle w:val="597"/>
        <w:jc w:val="center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pStyle w:val="59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ROZHODNUTÍ</w:t>
      </w:r>
      <w:r/>
    </w:p>
    <w:p>
      <w:pPr>
        <w:pStyle w:val="597"/>
        <w:jc w:val="center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5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>
        <w:rPr>
          <w:b/>
          <w:bCs/>
          <w:sz w:val="28"/>
          <w:szCs w:val="28"/>
        </w:rPr>
        <w:t xml:space="preserve">přijetí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dětí </w:t>
      </w:r>
      <w:r>
        <w:rPr>
          <w:b/>
          <w:bCs/>
          <w:sz w:val="28"/>
          <w:szCs w:val="28"/>
        </w:rPr>
        <w:t xml:space="preserve"> k</w:t>
      </w:r>
      <w:r>
        <w:rPr>
          <w:b/>
          <w:bCs/>
          <w:sz w:val="28"/>
          <w:szCs w:val="28"/>
        </w:rPr>
        <w:t xml:space="preserve"> předškolnímu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vzdělávání od školního roku 20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4</w:t>
      </w:r>
      <w:r>
        <w:rPr>
          <w:b/>
          <w:bCs/>
          <w:sz w:val="28"/>
          <w:szCs w:val="28"/>
        </w:rPr>
      </w:r>
      <w:r/>
    </w:p>
    <w:p>
      <w:pPr>
        <w:pStyle w:val="59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both"/>
      </w:pPr>
      <w:r>
        <w:t xml:space="preserve">Ředitel základní školy, jejíž činnost vykovává Základní škola a Mateřská škola, Červený Kostelec, Olešnice 190, jako věcně a místně příslušný správní orgán ve smyslu ustanovení § 46, § 165 odst. 2 písm</w:t>
      </w:r>
      <w:r>
        <w:t xml:space="preserve">. e) a § 183 odst. 2 zákona č. 561/2004 Sb., o předškolní,. Základním, středním, vyšším odborném a jiném vzdělávání (školský zákon), ve znění pozdějších předpisů, a v souladu se zákonem č. 500/2004 Sb., správní řád, ve znění pozdějších předpisů, rozhodl že</w:t>
      </w:r>
      <w:r/>
    </w:p>
    <w:p>
      <w:pPr>
        <w:pStyle w:val="597"/>
        <w:jc w:val="both"/>
      </w:pPr>
      <w:r/>
      <w:r/>
    </w:p>
    <w:p>
      <w:pPr>
        <w:pStyle w:val="5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vyhovuje žádosti o přijetí do </w:t>
      </w:r>
      <w:r>
        <w:rPr>
          <w:b/>
          <w:bCs/>
          <w:sz w:val="28"/>
          <w:szCs w:val="28"/>
        </w:rPr>
        <w:t xml:space="preserve">mateřské školy k předškolnímu </w:t>
      </w:r>
      <w:r>
        <w:rPr>
          <w:b/>
          <w:bCs/>
          <w:sz w:val="28"/>
          <w:szCs w:val="28"/>
        </w:rPr>
        <w:t xml:space="preserve">vzdělávání</w:t>
      </w:r>
      <w:r>
        <w:rPr>
          <w:b/>
          <w:bCs/>
          <w:sz w:val="28"/>
          <w:szCs w:val="28"/>
        </w:rPr>
      </w:r>
      <w:r/>
    </w:p>
    <w:p>
      <w:pPr>
        <w:pStyle w:val="5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97"/>
        <w:jc w:val="both"/>
      </w:pPr>
      <w:r>
        <w:t xml:space="preserve">v Základní škole a Mateřské škole, Červený Kostelec, Olešnice 190, </w:t>
      </w:r>
      <w:r/>
    </w:p>
    <w:p>
      <w:pPr>
        <w:pStyle w:val="597"/>
        <w:jc w:val="both"/>
      </w:pPr>
      <w:r/>
      <w:r/>
    </w:p>
    <w:p>
      <w:pPr>
        <w:pStyle w:val="597"/>
        <w:jc w:val="both"/>
      </w:pPr>
      <w:r>
        <w:t xml:space="preserve">od školního roku </w:t>
      </w:r>
      <w:r>
        <w:t xml:space="preserve">20</w:t>
      </w:r>
      <w:r>
        <w:t xml:space="preserve">2</w:t>
      </w:r>
      <w:r>
        <w:t xml:space="preserve">3</w:t>
      </w:r>
      <w:r>
        <w:t xml:space="preserve"> </w:t>
      </w:r>
      <w:r>
        <w:t xml:space="preserve">–</w:t>
      </w:r>
      <w:r>
        <w:t xml:space="preserve"> 20</w:t>
      </w:r>
      <w:r>
        <w:t xml:space="preserve">2</w:t>
      </w:r>
      <w:r>
        <w:t xml:space="preserve">4</w:t>
      </w:r>
      <w:r>
        <w:t xml:space="preserve"> u dětí s těmito evidenčními čísly</w:t>
      </w:r>
      <w:r>
        <w:t xml:space="preserve"> </w:t>
      </w:r>
      <w:r>
        <w:t xml:space="preserve">:</w:t>
      </w:r>
      <w:r/>
    </w:p>
    <w:p>
      <w:pPr>
        <w:pStyle w:val="597"/>
        <w:jc w:val="both"/>
      </w:pPr>
      <w:r/>
      <w:r/>
    </w:p>
    <w:p>
      <w:pPr>
        <w:pStyle w:val="59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PPV – </w:t>
      </w:r>
      <w:r>
        <w:rPr>
          <w:sz w:val="40"/>
          <w:szCs w:val="40"/>
        </w:rPr>
        <w:t xml:space="preserve">22</w:t>
      </w:r>
      <w:r>
        <w:rPr>
          <w:sz w:val="40"/>
          <w:szCs w:val="40"/>
        </w:rPr>
        <w:t xml:space="preserve"> – 20</w:t>
      </w:r>
      <w:r>
        <w:rPr>
          <w:sz w:val="40"/>
          <w:szCs w:val="40"/>
        </w:rPr>
        <w:t xml:space="preserve">2</w:t>
      </w:r>
      <w:r>
        <w:rPr>
          <w:sz w:val="40"/>
          <w:szCs w:val="40"/>
        </w:rPr>
        <w:t xml:space="preserve">3</w:t>
        <w:tab/>
        <w:tab/>
        <w:tab/>
        <w:tab/>
        <w:t xml:space="preserve">PPV – 23 – 2023</w:t>
      </w:r>
      <w:r/>
    </w:p>
    <w:p>
      <w:pPr>
        <w:pStyle w:val="597"/>
        <w:jc w:val="both"/>
      </w:pPr>
      <w:r/>
      <w:r/>
    </w:p>
    <w:p>
      <w:pPr>
        <w:pStyle w:val="59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PPV – 29 – 2023</w:t>
        <w:tab/>
        <w:tab/>
        <w:tab/>
        <w:tab/>
        <w:t xml:space="preserve">PPV – 27 – 2023</w:t>
      </w:r>
      <w:r/>
    </w:p>
    <w:p>
      <w:pPr>
        <w:pStyle w:val="597"/>
        <w:jc w:val="both"/>
      </w:pPr>
      <w:r/>
      <w:r/>
    </w:p>
    <w:p>
      <w:pPr>
        <w:pStyle w:val="59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PPV – 20 – 2023</w:t>
        <w:tab/>
        <w:tab/>
        <w:tab/>
        <w:tab/>
        <w:t xml:space="preserve">PPV – 15 – 2023</w:t>
      </w:r>
      <w:r/>
    </w:p>
    <w:p>
      <w:pPr>
        <w:pStyle w:val="597"/>
        <w:jc w:val="both"/>
      </w:pPr>
      <w:r/>
      <w:r/>
    </w:p>
    <w:p>
      <w:pPr>
        <w:pStyle w:val="59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PPV – 24 – 2023</w:t>
        <w:tab/>
        <w:tab/>
        <w:tab/>
        <w:tab/>
        <w:t xml:space="preserve">PPV – 19 – 2023</w:t>
      </w:r>
      <w:r/>
    </w:p>
    <w:p>
      <w:pPr>
        <w:pStyle w:val="597"/>
        <w:jc w:val="both"/>
      </w:pPr>
      <w:r/>
      <w:r/>
    </w:p>
    <w:p>
      <w:pPr>
        <w:pStyle w:val="59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PPV – 21 – 2023</w:t>
      </w:r>
      <w:r/>
    </w:p>
    <w:p>
      <w:pPr>
        <w:pStyle w:val="597"/>
        <w:jc w:val="both"/>
      </w:pPr>
      <w:r/>
      <w:r/>
    </w:p>
    <w:p>
      <w:pPr>
        <w:pStyle w:val="597"/>
        <w:jc w:val="both"/>
      </w:pPr>
      <w:r/>
      <w:r/>
    </w:p>
    <w:p>
      <w:pPr>
        <w:pStyle w:val="5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Poučení:</w:t>
      </w:r>
      <w:r>
        <w:rPr>
          <w:b/>
          <w:bCs/>
          <w:sz w:val="28"/>
          <w:szCs w:val="28"/>
        </w:rPr>
      </w:r>
      <w:r/>
    </w:p>
    <w:p>
      <w:pPr>
        <w:pStyle w:val="59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59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Proti tomuto rozhodnutí je možné se odvolat ve </w:t>
      </w:r>
      <w:r>
        <w:rPr>
          <w:sz w:val="20"/>
          <w:szCs w:val="20"/>
        </w:rPr>
        <w:t xml:space="preserve">lhůtě do 15 dnů od data zveřejnění</w:t>
      </w:r>
      <w:r>
        <w:rPr>
          <w:sz w:val="20"/>
          <w:szCs w:val="20"/>
        </w:rPr>
        <w:t xml:space="preserve"> tohoto rozhodnutí, a to prostřednictvím ředitele Základní školy a Mateřské školy, Červený Kostelec, Olešnice 190</w:t>
      </w:r>
      <w:r>
        <w:rPr>
          <w:sz w:val="20"/>
          <w:szCs w:val="20"/>
        </w:rPr>
        <w:t xml:space="preserve"> a rozhoduje o něm Krajský úřad Královéhradeckého kraje.</w:t>
      </w:r>
      <w:r/>
    </w:p>
    <w:p>
      <w:pPr>
        <w:pStyle w:val="597"/>
        <w:jc w:val="center"/>
        <w:rPr>
          <w:b/>
          <w:bCs/>
        </w:rPr>
      </w:pPr>
      <w:r>
        <w:rPr>
          <w:b/>
          <w:bCs/>
        </w:rPr>
      </w:r>
      <w:r/>
    </w:p>
    <w:p>
      <w:pPr>
        <w:pStyle w:val="597"/>
        <w:jc w:val="both"/>
      </w:pPr>
      <w:r/>
      <w:r/>
    </w:p>
    <w:p>
      <w:pPr>
        <w:pStyle w:val="597"/>
        <w:rPr>
          <w:sz w:val="20"/>
          <w:szCs w:val="20"/>
        </w:rPr>
      </w:pPr>
      <w:r>
        <w:rPr>
          <w:sz w:val="20"/>
          <w:szCs w:val="20"/>
        </w:rPr>
        <w:t xml:space="preserve">Datum, podpis ředitele</w:t>
      </w:r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19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5</w:t>
      </w:r>
      <w:r>
        <w:rPr>
          <w:sz w:val="20"/>
          <w:szCs w:val="20"/>
        </w:rPr>
        <w:t xml:space="preserve">. 20</w:t>
      </w:r>
      <w:r>
        <w:rPr>
          <w:sz w:val="20"/>
          <w:szCs w:val="20"/>
        </w:rPr>
        <w:t xml:space="preserve">2</w:t>
      </w:r>
      <w:r>
        <w:rPr>
          <w:sz w:val="20"/>
          <w:szCs w:val="20"/>
        </w:rPr>
        <w:t xml:space="preserve">3</w:t>
      </w:r>
      <w:r>
        <w:rPr>
          <w:sz w:val="20"/>
          <w:szCs w:val="20"/>
        </w:rPr>
      </w:r>
      <w:r/>
    </w:p>
    <w:p>
      <w:pPr>
        <w:pStyle w:val="59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</w:r>
      <w:r/>
    </w:p>
    <w:p>
      <w:pPr>
        <w:pStyle w:val="597"/>
        <w:rPr>
          <w:sz w:val="20"/>
          <w:szCs w:val="20"/>
        </w:rPr>
      </w:pPr>
      <w:r>
        <w:rPr>
          <w:sz w:val="20"/>
          <w:szCs w:val="20"/>
        </w:rPr>
        <w:t xml:space="preserve">Datum zveřej</w:t>
      </w:r>
      <w:r>
        <w:rPr>
          <w:sz w:val="20"/>
          <w:szCs w:val="20"/>
        </w:rPr>
        <w:t xml:space="preserve">nění rozhodnutí:  </w:t>
      </w:r>
      <w:r>
        <w:rPr>
          <w:sz w:val="20"/>
          <w:szCs w:val="20"/>
        </w:rPr>
        <w:t xml:space="preserve">19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5</w:t>
      </w:r>
      <w:r>
        <w:rPr>
          <w:sz w:val="20"/>
          <w:szCs w:val="20"/>
        </w:rPr>
        <w:t xml:space="preserve">. 20</w:t>
      </w:r>
      <w:r>
        <w:rPr>
          <w:sz w:val="20"/>
          <w:szCs w:val="20"/>
        </w:rPr>
        <w:t xml:space="preserve">2</w:t>
      </w:r>
      <w:r>
        <w:rPr>
          <w:sz w:val="20"/>
          <w:szCs w:val="20"/>
        </w:rPr>
        <w:t xml:space="preserve">3</w:t>
      </w:r>
      <w:r>
        <w:rPr>
          <w:sz w:val="20"/>
          <w:szCs w:val="20"/>
        </w:rPr>
      </w:r>
      <w:r/>
    </w:p>
    <w:p>
      <w:pPr>
        <w:pStyle w:val="597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597"/>
        <w:rPr>
          <w:sz w:val="20"/>
          <w:szCs w:val="20"/>
        </w:rPr>
      </w:pPr>
      <w:r>
        <w:rPr>
          <w:sz w:val="20"/>
          <w:szCs w:val="20"/>
        </w:rPr>
        <w:t xml:space="preserve"> </w:t>
        <w:tab/>
        <w:tab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  <w:tab/>
      </w:r>
      <w:r>
        <w:rPr>
          <w:sz w:val="20"/>
          <w:szCs w:val="20"/>
        </w:rPr>
        <w:t xml:space="preserve">      kulaté razítko</w:t>
      </w:r>
      <w:r/>
    </w:p>
    <w:p>
      <w:pPr>
        <w:pStyle w:val="597"/>
      </w:pPr>
      <w:r/>
      <w:r/>
    </w:p>
    <w:p>
      <w:pPr>
        <w:pStyle w:val="597"/>
      </w:pPr>
      <w:r/>
      <w:r/>
    </w:p>
    <w:p>
      <w:pPr>
        <w:pStyle w:val="597"/>
      </w:pPr>
      <w:r/>
      <w:r/>
    </w:p>
    <w:p>
      <w:pPr>
        <w:pStyle w:val="597"/>
      </w:pPr>
      <w:r/>
      <w:r/>
    </w:p>
    <w:p>
      <w:pPr>
        <w:pStyle w:val="597"/>
      </w:pPr>
      <w:r/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SimSun">
    <w:panose1 w:val="02020603020101020101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SimSun" w:hint="default"/>
        <w:lang w:val="cs-CZ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7"/>
    <w:next w:val="59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7"/>
    <w:next w:val="59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7"/>
    <w:next w:val="59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7"/>
    <w:next w:val="59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7"/>
    <w:next w:val="59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7"/>
    <w:next w:val="59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7"/>
    <w:next w:val="59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7"/>
    <w:next w:val="59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7"/>
    <w:next w:val="59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7"/>
    <w:next w:val="5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7"/>
    <w:next w:val="5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7"/>
    <w:next w:val="5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7"/>
    <w:next w:val="5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rPr>
      <w:sz w:val="24"/>
      <w:szCs w:val="24"/>
      <w:lang w:val="cs-CZ" w:bidi="ar-SA" w:eastAsia="zh-CN"/>
    </w:rPr>
  </w:style>
  <w:style w:type="character" w:styleId="598">
    <w:name w:val="Standardní písmo odstavce"/>
    <w:next w:val="598"/>
    <w:link w:val="597"/>
    <w:semiHidden/>
  </w:style>
  <w:style w:type="table" w:styleId="599">
    <w:name w:val="Normální tabulka"/>
    <w:next w:val="599"/>
    <w:link w:val="597"/>
    <w:semiHidden/>
    <w:tblPr/>
  </w:style>
  <w:style w:type="numbering" w:styleId="600">
    <w:name w:val="Bez seznamu"/>
    <w:next w:val="600"/>
    <w:link w:val="597"/>
    <w:semiHidden/>
  </w:style>
  <w:style w:type="paragraph" w:styleId="601">
    <w:name w:val="Text bubliny"/>
    <w:basedOn w:val="597"/>
    <w:next w:val="601"/>
    <w:link w:val="602"/>
    <w:semiHidden/>
    <w:rPr>
      <w:rFonts w:ascii="Segoe UI" w:hAnsi="Segoe UI"/>
      <w:sz w:val="18"/>
      <w:szCs w:val="18"/>
    </w:rPr>
  </w:style>
  <w:style w:type="character" w:styleId="602">
    <w:name w:val=" Char Char"/>
    <w:next w:val="602"/>
    <w:link w:val="601"/>
    <w:semiHidden/>
    <w:rPr>
      <w:rFonts w:ascii="Segoe UI" w:hAnsi="Segoe UI"/>
      <w:sz w:val="18"/>
      <w:szCs w:val="18"/>
      <w:lang w:eastAsia="zh-CN"/>
    </w:rPr>
  </w:style>
  <w:style w:type="character" w:styleId="826" w:default="1">
    <w:name w:val="Default Paragraph Font"/>
    <w:uiPriority w:val="1"/>
    <w:semiHidden/>
    <w:unhideWhenUsed/>
  </w:style>
  <w:style w:type="numbering" w:styleId="827" w:default="1">
    <w:name w:val="No List"/>
    <w:uiPriority w:val="99"/>
    <w:semiHidden/>
    <w:unhideWhenUsed/>
  </w:style>
  <w:style w:type="table" w:styleId="8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ZŠ a MŠ Olešnice</cp:lastModifiedBy>
  <cp:revision>1</cp:revision>
  <dcterms:modified xsi:type="dcterms:W3CDTF">2023-05-18T05:12:43Z</dcterms:modified>
</cp:coreProperties>
</file>